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640C" w14:textId="37238A25" w:rsidR="002C3975" w:rsidRPr="002C3975" w:rsidRDefault="00C33813" w:rsidP="002C3975">
      <w:pPr>
        <w:rPr>
          <w:b/>
          <w:bCs/>
          <w:kern w:val="28"/>
          <w:sz w:val="28"/>
          <w:szCs w:val="28"/>
        </w:rPr>
      </w:pPr>
      <w:r>
        <w:rPr>
          <w:b/>
          <w:bCs/>
          <w:kern w:val="28"/>
          <w:sz w:val="28"/>
          <w:szCs w:val="28"/>
        </w:rPr>
        <w:t xml:space="preserve">ANALÝZA: </w:t>
      </w:r>
      <w:r w:rsidR="002C3975" w:rsidRPr="002C3975">
        <w:rPr>
          <w:b/>
          <w:bCs/>
          <w:kern w:val="28"/>
          <w:sz w:val="28"/>
          <w:szCs w:val="28"/>
        </w:rPr>
        <w:t>Jak vypadají akciové výnosy, co odolávají i změnám na trhu?</w:t>
      </w:r>
    </w:p>
    <w:p w14:paraId="57F92BA4" w14:textId="77777777" w:rsidR="002127C7" w:rsidRPr="002C3975" w:rsidRDefault="002127C7" w:rsidP="00321602">
      <w:pPr>
        <w:spacing w:line="360" w:lineRule="auto"/>
      </w:pPr>
    </w:p>
    <w:p w14:paraId="4283ECB5" w14:textId="1531A829" w:rsidR="002C3975" w:rsidRPr="002C3975" w:rsidRDefault="002C3975" w:rsidP="00321602">
      <w:pPr>
        <w:spacing w:before="0" w:after="160" w:line="360" w:lineRule="auto"/>
        <w:rPr>
          <w:b/>
          <w:bCs/>
        </w:rPr>
      </w:pPr>
      <w:r w:rsidRPr="002C3975">
        <w:rPr>
          <w:b/>
          <w:bCs/>
        </w:rPr>
        <w:t xml:space="preserve">Nejisté makroekonomické prostředí spolu s vysokými valuacemi akciových trhů v USA vystavuje investory stále většímu geopolitickému riziku, riziku ocenění a koncentrace. Portfolio manažer Tristan </w:t>
      </w:r>
      <w:proofErr w:type="spellStart"/>
      <w:r w:rsidRPr="002C3975">
        <w:rPr>
          <w:b/>
          <w:bCs/>
        </w:rPr>
        <w:t>Purcell</w:t>
      </w:r>
      <w:proofErr w:type="spellEnd"/>
      <w:r w:rsidRPr="002C3975">
        <w:rPr>
          <w:b/>
          <w:bCs/>
        </w:rPr>
        <w:t xml:space="preserve"> zdůrazňuje výhody orientace na udržitelné dividendy, odolné výnosy a disciplínu v oblasti valuací zvládnout budoucí vývoj.</w:t>
      </w:r>
    </w:p>
    <w:p w14:paraId="5A1CBA89" w14:textId="77777777" w:rsidR="002C3975" w:rsidRDefault="002C3975" w:rsidP="002C3975">
      <w:r>
        <w:t>Nerovnoměrný růst, rozdíly v politice a geopolitické napětí vytvářejí pro akciové investory náročnější prostředí. Oznámení o clech a měnící se obchodní politiky narušily dodavatelské řetězce, zatímco vyšší náklady na získání financí nadále prověřují společnosti, které se dosud spoléhaly na levný kapitál a zpětný odkup akcií.</w:t>
      </w:r>
    </w:p>
    <w:p w14:paraId="1B2D115C" w14:textId="77777777" w:rsidR="002C3975" w:rsidRDefault="002C3975" w:rsidP="002C3975">
      <w:r>
        <w:t>Trhy se také stále více řídí narativem. V posledních letech se rychle měnil sentiment podle aktuálních témat, jakými jsou nadvláda umělé inteligence nebo slábnoucí výjimečnost USA. Tyto měnící se narativy zesílily volatilitu a zvýšily citlivost trhů na krátkodobé změny sentimentu.</w:t>
      </w:r>
    </w:p>
    <w:p w14:paraId="2AFFA601" w14:textId="77777777" w:rsidR="002C3975" w:rsidRDefault="002C3975" w:rsidP="002C3975">
      <w:r>
        <w:t>Zároveň se dále zvětšuje koncentrace trhu. Americké akcie nyní tvoří přibližně dvě třetiny globálních indexů a v rámci USA mají technologie a takzvaná „</w:t>
      </w:r>
      <w:proofErr w:type="spellStart"/>
      <w:r>
        <w:t>Magnificent</w:t>
      </w:r>
      <w:proofErr w:type="spellEnd"/>
      <w:r>
        <w:t xml:space="preserve"> </w:t>
      </w:r>
      <w:proofErr w:type="spellStart"/>
      <w:r>
        <w:t>Seven</w:t>
      </w:r>
      <w:proofErr w:type="spellEnd"/>
      <w:r>
        <w:t>“ dohromady přibližně polovinu domácího trhu – oproti přibližně 20 % před deseti lety. Taková úroveň koncentrace nebyla zaznamenána od vrcholu technologické bubliny na počátku 21. století a vystavuje investory velkému riziku souvisejícím s malou skupinou společností.</w:t>
      </w:r>
    </w:p>
    <w:p w14:paraId="2C9034F4" w14:textId="77777777" w:rsidR="002C3975" w:rsidRDefault="002C3975" w:rsidP="002C3975">
      <w:r>
        <w:t>V této situaci je zásadní držet se základních fundamentů – zisků, síly rozvahy a ocenění – a pro investory, kteří hledají vyvážené zdroje výnosů, představuje atraktivní řešení celkově defenzivní přístup založený na dividendách. Ten může poskytnout přístup k různým faktorům růstu a vyhnout se drahým segmentům trhu tím, že se zaměří na společnosti, které generují konzistentní peněžní toky a dividendy i v průběhu tržních cyklů.</w:t>
      </w:r>
    </w:p>
    <w:p w14:paraId="2009DBE8" w14:textId="1AF59443" w:rsidR="00362096" w:rsidRDefault="002C3975" w:rsidP="002C3975">
      <w:r>
        <w:t xml:space="preserve">Strategie </w:t>
      </w:r>
      <w:proofErr w:type="spellStart"/>
      <w:r>
        <w:t>Fidelity</w:t>
      </w:r>
      <w:proofErr w:type="spellEnd"/>
      <w:r>
        <w:t xml:space="preserve"> </w:t>
      </w:r>
      <w:proofErr w:type="spellStart"/>
      <w:r>
        <w:t>Global</w:t>
      </w:r>
      <w:proofErr w:type="spellEnd"/>
      <w:r>
        <w:t xml:space="preserve"> </w:t>
      </w:r>
      <w:proofErr w:type="spellStart"/>
      <w:r>
        <w:t>Equity</w:t>
      </w:r>
      <w:proofErr w:type="spellEnd"/>
      <w:r>
        <w:t xml:space="preserve"> </w:t>
      </w:r>
      <w:proofErr w:type="spellStart"/>
      <w:r>
        <w:t>Income</w:t>
      </w:r>
      <w:proofErr w:type="spellEnd"/>
      <w:r>
        <w:t xml:space="preserve"> je navržena tak, aby dosahovala výkonnosti v průběhu cyklů prostřednictvím kombinace výnosů a zhodnocení kapitálu. Na běžných trzích se snažíme dosahovat nadprůměrných výsledků prostřednictvím důkladného výběru akcií a stabilního růstu výnosů. Na slabších trzích máme tendenci dosahovat ještě lepších výsledků, což odráží odolnost našich pozic. Během vysoce spekulativních </w:t>
      </w:r>
      <w:proofErr w:type="spellStart"/>
      <w:r>
        <w:t>rally</w:t>
      </w:r>
      <w:proofErr w:type="spellEnd"/>
      <w:r>
        <w:t xml:space="preserve"> můžeme zaostávat, ale i pak se soustředíme na zhodnocování v průběhu času, nikoli na honbu za krátkodobým momentem. Například během poslední korekce trhu v dubnu klesla strategie </w:t>
      </w:r>
      <w:proofErr w:type="spellStart"/>
      <w:r>
        <w:t>Fidelity</w:t>
      </w:r>
      <w:proofErr w:type="spellEnd"/>
      <w:r>
        <w:t xml:space="preserve"> </w:t>
      </w:r>
      <w:proofErr w:type="spellStart"/>
      <w:r>
        <w:t>Global</w:t>
      </w:r>
      <w:proofErr w:type="spellEnd"/>
      <w:r>
        <w:t xml:space="preserve"> </w:t>
      </w:r>
      <w:proofErr w:type="spellStart"/>
      <w:r>
        <w:t>Equity</w:t>
      </w:r>
      <w:proofErr w:type="spellEnd"/>
      <w:r>
        <w:t xml:space="preserve"> </w:t>
      </w:r>
      <w:proofErr w:type="spellStart"/>
      <w:r>
        <w:t>Income</w:t>
      </w:r>
      <w:proofErr w:type="spellEnd"/>
      <w:r>
        <w:t xml:space="preserve"> o přibližně 9 % ve srovnání s 16% poklesem indexu MSCI ACWI a své ztráty vyrovnala mnohem rychleji (9 dní u fondu oproti 59 dnům u indexu). To je v souladu s výkonnostním profilem, který jsme zaznamenali v delším časovém období, jak je znázorněno v grafu níže.</w:t>
      </w:r>
    </w:p>
    <w:p w14:paraId="412AB412" w14:textId="77777777" w:rsidR="00362096" w:rsidRDefault="00362096">
      <w:pPr>
        <w:spacing w:before="0" w:line="240" w:lineRule="auto"/>
        <w:jc w:val="left"/>
      </w:pPr>
      <w:r>
        <w:br w:type="page"/>
      </w:r>
    </w:p>
    <w:p w14:paraId="0EF8F28D" w14:textId="2C21133F" w:rsidR="002C3975" w:rsidRPr="00362096" w:rsidRDefault="00362096" w:rsidP="00362096">
      <w:pPr>
        <w:pStyle w:val="F2-zkladn"/>
      </w:pPr>
      <w:r w:rsidRPr="00362096">
        <w:rPr>
          <w:b/>
          <w:bCs/>
        </w:rPr>
        <w:lastRenderedPageBreak/>
        <w:t xml:space="preserve">Graf 1: </w:t>
      </w:r>
      <w:r w:rsidR="002C3975" w:rsidRPr="00362096">
        <w:rPr>
          <w:b/>
          <w:bCs/>
        </w:rPr>
        <w:t>Defenzivní charakteristiky na nejistých trzích</w:t>
      </w:r>
    </w:p>
    <w:p w14:paraId="185F8FCD" w14:textId="0BEC2FB5" w:rsidR="002C3975" w:rsidRPr="00CE0219" w:rsidRDefault="00362096" w:rsidP="002C3975">
      <w:pPr>
        <w:rPr>
          <w:i/>
          <w:iCs/>
        </w:rPr>
      </w:pPr>
      <w:r>
        <w:rPr>
          <w:noProof/>
        </w:rPr>
        <w:drawing>
          <wp:anchor distT="0" distB="0" distL="114300" distR="114300" simplePos="0" relativeHeight="251658240" behindDoc="1" locked="0" layoutInCell="1" allowOverlap="1" wp14:anchorId="17102088" wp14:editId="00995F62">
            <wp:simplePos x="0" y="0"/>
            <wp:positionH relativeFrom="margin">
              <wp:align>left</wp:align>
            </wp:positionH>
            <wp:positionV relativeFrom="paragraph">
              <wp:posOffset>913820</wp:posOffset>
            </wp:positionV>
            <wp:extent cx="5759450" cy="2815590"/>
            <wp:effectExtent l="0" t="0" r="0" b="3810"/>
            <wp:wrapTight wrapText="bothSides">
              <wp:wrapPolygon edited="0">
                <wp:start x="0" y="0"/>
                <wp:lineTo x="0" y="21483"/>
                <wp:lineTo x="21505" y="21483"/>
                <wp:lineTo x="21505" y="0"/>
                <wp:lineTo x="0" y="0"/>
              </wp:wrapPolygon>
            </wp:wrapTight>
            <wp:docPr id="174681109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11099" name="Obrázek 1746811099"/>
                    <pic:cNvPicPr/>
                  </pic:nvPicPr>
                  <pic:blipFill>
                    <a:blip r:embed="rId11">
                      <a:extLst>
                        <a:ext uri="{28A0092B-C50C-407E-A947-70E740481C1C}">
                          <a14:useLocalDpi xmlns:a14="http://schemas.microsoft.com/office/drawing/2010/main" val="0"/>
                        </a:ext>
                      </a:extLst>
                    </a:blip>
                    <a:stretch>
                      <a:fillRect/>
                    </a:stretch>
                  </pic:blipFill>
                  <pic:spPr>
                    <a:xfrm>
                      <a:off x="0" y="0"/>
                      <a:ext cx="5759450" cy="2815590"/>
                    </a:xfrm>
                    <a:prstGeom prst="rect">
                      <a:avLst/>
                    </a:prstGeom>
                  </pic:spPr>
                </pic:pic>
              </a:graphicData>
            </a:graphic>
          </wp:anchor>
        </w:drawing>
      </w:r>
      <w:r w:rsidR="002C3975" w:rsidRPr="00CE0219">
        <w:rPr>
          <w:i/>
          <w:iCs/>
        </w:rPr>
        <w:t xml:space="preserve">Výkonnost je uvedena pouze pro ilustrační účely, aby demonstrovala dosavadní výsledky </w:t>
      </w:r>
      <w:proofErr w:type="spellStart"/>
      <w:r w:rsidR="002C3975" w:rsidRPr="00CE0219">
        <w:rPr>
          <w:i/>
          <w:iCs/>
        </w:rPr>
        <w:t>fondu.Minulá</w:t>
      </w:r>
      <w:proofErr w:type="spellEnd"/>
      <w:r w:rsidR="002C3975" w:rsidRPr="00CE0219">
        <w:rPr>
          <w:i/>
          <w:iCs/>
        </w:rPr>
        <w:t xml:space="preserve"> výkonnost není zárukou budoucích výnosů. Výnosy fondu mohou v důsledku měnových výkyvů vzrůst nebo poklesnout.</w:t>
      </w:r>
    </w:p>
    <w:p w14:paraId="251C77D4" w14:textId="09C27E6D" w:rsidR="002C3975" w:rsidRPr="00362096" w:rsidRDefault="002C3975" w:rsidP="002C3975">
      <w:pPr>
        <w:rPr>
          <w:i/>
          <w:iCs/>
          <w:sz w:val="18"/>
          <w:szCs w:val="18"/>
        </w:rPr>
      </w:pPr>
      <w:r w:rsidRPr="00362096">
        <w:rPr>
          <w:i/>
          <w:iCs/>
          <w:sz w:val="18"/>
          <w:szCs w:val="18"/>
        </w:rPr>
        <w:t xml:space="preserve">Zdroj: LHS: </w:t>
      </w:r>
      <w:proofErr w:type="spellStart"/>
      <w:r w:rsidRPr="00362096">
        <w:rPr>
          <w:i/>
          <w:iCs/>
          <w:sz w:val="18"/>
          <w:szCs w:val="18"/>
        </w:rPr>
        <w:t>Fidelity</w:t>
      </w:r>
      <w:proofErr w:type="spellEnd"/>
      <w:r w:rsidRPr="00362096">
        <w:rPr>
          <w:i/>
          <w:iCs/>
          <w:sz w:val="18"/>
          <w:szCs w:val="18"/>
        </w:rPr>
        <w:t xml:space="preserve"> International, k 30. září 2025. Výkonnost po odečtení poplatků pro třídu akcií </w:t>
      </w:r>
      <w:proofErr w:type="spellStart"/>
      <w:r w:rsidRPr="00362096">
        <w:rPr>
          <w:i/>
          <w:iCs/>
          <w:sz w:val="18"/>
          <w:szCs w:val="18"/>
        </w:rPr>
        <w:t>Fidelity</w:t>
      </w:r>
      <w:proofErr w:type="spellEnd"/>
      <w:r w:rsidRPr="00362096">
        <w:rPr>
          <w:i/>
          <w:iCs/>
          <w:sz w:val="18"/>
          <w:szCs w:val="18"/>
        </w:rPr>
        <w:t xml:space="preserve"> </w:t>
      </w:r>
      <w:proofErr w:type="spellStart"/>
      <w:r w:rsidRPr="00362096">
        <w:rPr>
          <w:i/>
          <w:iCs/>
          <w:sz w:val="18"/>
          <w:szCs w:val="18"/>
        </w:rPr>
        <w:t>Funds</w:t>
      </w:r>
      <w:proofErr w:type="spellEnd"/>
      <w:r w:rsidRPr="00362096">
        <w:rPr>
          <w:i/>
          <w:iCs/>
          <w:sz w:val="18"/>
          <w:szCs w:val="18"/>
        </w:rPr>
        <w:t xml:space="preserve"> - </w:t>
      </w:r>
      <w:proofErr w:type="spellStart"/>
      <w:r w:rsidRPr="00362096">
        <w:rPr>
          <w:i/>
          <w:iCs/>
          <w:sz w:val="18"/>
          <w:szCs w:val="18"/>
        </w:rPr>
        <w:t>Global</w:t>
      </w:r>
      <w:proofErr w:type="spellEnd"/>
      <w:r w:rsidRPr="00362096">
        <w:rPr>
          <w:i/>
          <w:iCs/>
          <w:sz w:val="18"/>
          <w:szCs w:val="18"/>
        </w:rPr>
        <w:t xml:space="preserve"> </w:t>
      </w:r>
      <w:proofErr w:type="spellStart"/>
      <w:r w:rsidRPr="00362096">
        <w:rPr>
          <w:i/>
          <w:iCs/>
          <w:sz w:val="18"/>
          <w:szCs w:val="18"/>
        </w:rPr>
        <w:t>Equity</w:t>
      </w:r>
      <w:proofErr w:type="spellEnd"/>
      <w:r w:rsidRPr="00362096">
        <w:rPr>
          <w:i/>
          <w:iCs/>
          <w:sz w:val="18"/>
          <w:szCs w:val="18"/>
        </w:rPr>
        <w:t xml:space="preserve"> </w:t>
      </w:r>
      <w:proofErr w:type="spellStart"/>
      <w:r w:rsidRPr="00362096">
        <w:rPr>
          <w:i/>
          <w:iCs/>
          <w:sz w:val="18"/>
          <w:szCs w:val="18"/>
        </w:rPr>
        <w:t>Income</w:t>
      </w:r>
      <w:proofErr w:type="spellEnd"/>
      <w:r w:rsidRPr="00362096">
        <w:rPr>
          <w:i/>
          <w:iCs/>
          <w:sz w:val="18"/>
          <w:szCs w:val="18"/>
        </w:rPr>
        <w:t xml:space="preserve"> </w:t>
      </w:r>
      <w:proofErr w:type="spellStart"/>
      <w:r w:rsidRPr="00362096">
        <w:rPr>
          <w:i/>
          <w:iCs/>
          <w:sz w:val="18"/>
          <w:szCs w:val="18"/>
        </w:rPr>
        <w:t>Fund</w:t>
      </w:r>
      <w:proofErr w:type="spellEnd"/>
      <w:r w:rsidRPr="00362096">
        <w:rPr>
          <w:i/>
          <w:iCs/>
          <w:sz w:val="18"/>
          <w:szCs w:val="18"/>
        </w:rPr>
        <w:t xml:space="preserve"> I-ACC-USD na základě průměru dat o výnosech za posledních 12 měsíců, vypočítaná na základě klouzavého 12měsíčního období od prvního úplného měsíce výkonnosti: prosinec 2013. (Datum založení fondu a třídy akcií: 18. 11. 2013). RHS: </w:t>
      </w:r>
      <w:proofErr w:type="spellStart"/>
      <w:r w:rsidRPr="00362096">
        <w:rPr>
          <w:i/>
          <w:iCs/>
          <w:sz w:val="18"/>
          <w:szCs w:val="18"/>
        </w:rPr>
        <w:t>Morningstar</w:t>
      </w:r>
      <w:proofErr w:type="spellEnd"/>
      <w:r w:rsidRPr="00362096">
        <w:rPr>
          <w:i/>
          <w:iCs/>
          <w:sz w:val="18"/>
          <w:szCs w:val="18"/>
        </w:rPr>
        <w:t xml:space="preserve"> Direct k 30. září 2025. Míry rizika vypočítané na základě měsíčních výkonnostních řad.</w:t>
      </w:r>
    </w:p>
    <w:p w14:paraId="502DB703" w14:textId="77777777" w:rsidR="002C3975" w:rsidRPr="009D16A9" w:rsidRDefault="002C3975" w:rsidP="002C3975">
      <w:r>
        <w:t>V prostředí nerovnoměrného růstu se domníváme, že udržitelné generování hotovosti se stává důležitým faktorem výkonnosti. Dividendy představují hmatatelný a opakující se zdroj výnosů, který je obvykle méně volatilní než ceny akcií a úzce souvisí s fundamentálními ukazateli společnosti. V uplynulých dvou desetiletích tvořily reinvestované dividendy více než polovinu celkového výnosu akciových trhů po celém světě. To podtrhuje jejich roli jako konzistentního faktoru přispívajícího k dlouhodobému vytváření bohatství.</w:t>
      </w:r>
    </w:p>
    <w:p w14:paraId="04D2D45F" w14:textId="77777777" w:rsidR="002C3975" w:rsidRPr="00EC6F86" w:rsidRDefault="002C3975" w:rsidP="002C3975">
      <w:pPr>
        <w:rPr>
          <w:b/>
          <w:bCs/>
        </w:rPr>
      </w:pPr>
      <w:r w:rsidRPr="00EC6F86">
        <w:rPr>
          <w:b/>
          <w:bCs/>
        </w:rPr>
        <w:t>Diferencovaný přístup s diverzifikovaným positioningem</w:t>
      </w:r>
    </w:p>
    <w:p w14:paraId="2729F1AB" w14:textId="77777777" w:rsidR="002C3975" w:rsidRDefault="002C3975" w:rsidP="002C3975">
      <w:r>
        <w:t>Náš přístup se zaměřuje na podniky, které jsou schopny vyplácet a zvyšovat dividendy udržitelným způsobem. Zaměření na odolnost spočívá na třech klíčových pilířích:</w:t>
      </w:r>
    </w:p>
    <w:p w14:paraId="0F28E698" w14:textId="77777777" w:rsidR="002C3975" w:rsidRDefault="002C3975" w:rsidP="002C3975">
      <w:r>
        <w:t>•    Trvalost obchodního modelu, která zajišťuje, že společnosti mohou generovat stabilní výnosy i za měnících se tržních podmínek.</w:t>
      </w:r>
    </w:p>
    <w:p w14:paraId="2F2314E9" w14:textId="77777777" w:rsidR="002C3975" w:rsidRDefault="002C3975" w:rsidP="002C3975">
      <w:r>
        <w:t>•    Finanční síla, tedy solidní rozvaha a obezřetná alokace kapitálu.</w:t>
      </w:r>
    </w:p>
    <w:p w14:paraId="6FE5F141" w14:textId="77777777" w:rsidR="002C3975" w:rsidRDefault="002C3975" w:rsidP="002C3975">
      <w:r>
        <w:t>•    Disciplína v oblasti oceňování, která udržuje bezpečnou rezervu tím, že se vyhýbá nadhodnoceným nebo spekulativním oblastem trhu.</w:t>
      </w:r>
    </w:p>
    <w:p w14:paraId="3DAC76E8" w14:textId="19BEC997" w:rsidR="00362096" w:rsidRPr="00362096" w:rsidRDefault="00362096" w:rsidP="002C3975">
      <w:pPr>
        <w:rPr>
          <w:b/>
          <w:bCs/>
        </w:rPr>
      </w:pPr>
      <w:r w:rsidRPr="00362096">
        <w:rPr>
          <w:b/>
          <w:bCs/>
        </w:rPr>
        <w:lastRenderedPageBreak/>
        <w:t xml:space="preserve">Graf 2: </w:t>
      </w:r>
      <w:proofErr w:type="spellStart"/>
      <w:r w:rsidR="00C33813" w:rsidRPr="00C33813">
        <w:rPr>
          <w:b/>
          <w:bCs/>
        </w:rPr>
        <w:t>Fidelity</w:t>
      </w:r>
      <w:proofErr w:type="spellEnd"/>
      <w:r w:rsidR="00C33813" w:rsidRPr="00C33813">
        <w:rPr>
          <w:b/>
          <w:bCs/>
        </w:rPr>
        <w:t xml:space="preserve"> </w:t>
      </w:r>
      <w:proofErr w:type="spellStart"/>
      <w:r w:rsidR="00C33813" w:rsidRPr="00C33813">
        <w:rPr>
          <w:b/>
          <w:bCs/>
        </w:rPr>
        <w:t>Global</w:t>
      </w:r>
      <w:proofErr w:type="spellEnd"/>
      <w:r w:rsidR="00C33813" w:rsidRPr="00C33813">
        <w:rPr>
          <w:b/>
          <w:bCs/>
        </w:rPr>
        <w:t xml:space="preserve"> </w:t>
      </w:r>
      <w:proofErr w:type="spellStart"/>
      <w:r w:rsidR="00C33813" w:rsidRPr="00C33813">
        <w:rPr>
          <w:b/>
          <w:bCs/>
        </w:rPr>
        <w:t>Equity</w:t>
      </w:r>
      <w:proofErr w:type="spellEnd"/>
      <w:r w:rsidR="00C33813" w:rsidRPr="00C33813">
        <w:rPr>
          <w:b/>
          <w:bCs/>
        </w:rPr>
        <w:t xml:space="preserve"> </w:t>
      </w:r>
      <w:proofErr w:type="spellStart"/>
      <w:r w:rsidR="00C33813" w:rsidRPr="00C33813">
        <w:rPr>
          <w:b/>
          <w:bCs/>
        </w:rPr>
        <w:t>Income</w:t>
      </w:r>
      <w:proofErr w:type="spellEnd"/>
      <w:r w:rsidR="00C33813" w:rsidRPr="00C33813">
        <w:rPr>
          <w:b/>
          <w:bCs/>
        </w:rPr>
        <w:t xml:space="preserve"> versus MSCI ACWI</w:t>
      </w:r>
    </w:p>
    <w:p w14:paraId="6F09A070" w14:textId="1C77DED6" w:rsidR="00362096" w:rsidRDefault="00362096" w:rsidP="002C3975">
      <w:pPr>
        <w:rPr>
          <w:i/>
          <w:iCs/>
        </w:rPr>
      </w:pPr>
      <w:r>
        <w:rPr>
          <w:i/>
          <w:iCs/>
          <w:noProof/>
        </w:rPr>
        <w:drawing>
          <wp:anchor distT="0" distB="0" distL="114300" distR="114300" simplePos="0" relativeHeight="251659264" behindDoc="0" locked="0" layoutInCell="1" allowOverlap="1" wp14:anchorId="6C657996" wp14:editId="3CD2CEC9">
            <wp:simplePos x="0" y="0"/>
            <wp:positionH relativeFrom="column">
              <wp:posOffset>-144724</wp:posOffset>
            </wp:positionH>
            <wp:positionV relativeFrom="paragraph">
              <wp:posOffset>413164</wp:posOffset>
            </wp:positionV>
            <wp:extent cx="5759450" cy="2742565"/>
            <wp:effectExtent l="0" t="0" r="0" b="635"/>
            <wp:wrapThrough wrapText="bothSides">
              <wp:wrapPolygon edited="0">
                <wp:start x="0" y="0"/>
                <wp:lineTo x="0" y="21455"/>
                <wp:lineTo x="21505" y="21455"/>
                <wp:lineTo x="21505" y="0"/>
                <wp:lineTo x="0" y="0"/>
              </wp:wrapPolygon>
            </wp:wrapThrough>
            <wp:docPr id="56412690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26901" name="Obrázek 564126901"/>
                    <pic:cNvPicPr/>
                  </pic:nvPicPr>
                  <pic:blipFill>
                    <a:blip r:embed="rId12">
                      <a:extLst>
                        <a:ext uri="{28A0092B-C50C-407E-A947-70E740481C1C}">
                          <a14:useLocalDpi xmlns:a14="http://schemas.microsoft.com/office/drawing/2010/main" val="0"/>
                        </a:ext>
                      </a:extLst>
                    </a:blip>
                    <a:stretch>
                      <a:fillRect/>
                    </a:stretch>
                  </pic:blipFill>
                  <pic:spPr>
                    <a:xfrm>
                      <a:off x="0" y="0"/>
                      <a:ext cx="5759450" cy="2742565"/>
                    </a:xfrm>
                    <a:prstGeom prst="rect">
                      <a:avLst/>
                    </a:prstGeom>
                  </pic:spPr>
                </pic:pic>
              </a:graphicData>
            </a:graphic>
          </wp:anchor>
        </w:drawing>
      </w:r>
      <w:r w:rsidR="002C3975" w:rsidRPr="00EC6F86">
        <w:rPr>
          <w:i/>
          <w:iCs/>
        </w:rPr>
        <w:t xml:space="preserve">Naším cílem je vlastnit společnosti jejichž výnosy jsou hodně odolné </w:t>
      </w:r>
    </w:p>
    <w:p w14:paraId="3CF48821" w14:textId="20CFA9E2" w:rsidR="002C3975" w:rsidRPr="00362096" w:rsidRDefault="002C3975" w:rsidP="002C3975">
      <w:pPr>
        <w:rPr>
          <w:i/>
          <w:iCs/>
          <w:sz w:val="18"/>
          <w:szCs w:val="18"/>
        </w:rPr>
      </w:pPr>
      <w:r w:rsidRPr="00362096">
        <w:rPr>
          <w:i/>
          <w:iCs/>
          <w:sz w:val="18"/>
          <w:szCs w:val="18"/>
        </w:rPr>
        <w:t xml:space="preserve">Zdroj: </w:t>
      </w:r>
      <w:proofErr w:type="spellStart"/>
      <w:r w:rsidRPr="00362096">
        <w:rPr>
          <w:i/>
          <w:iCs/>
          <w:sz w:val="18"/>
          <w:szCs w:val="18"/>
        </w:rPr>
        <w:t>Fidelity</w:t>
      </w:r>
      <w:proofErr w:type="spellEnd"/>
      <w:r w:rsidRPr="00362096">
        <w:rPr>
          <w:i/>
          <w:iCs/>
          <w:sz w:val="18"/>
          <w:szCs w:val="18"/>
        </w:rPr>
        <w:t xml:space="preserve"> International, </w:t>
      </w:r>
      <w:proofErr w:type="spellStart"/>
      <w:r w:rsidRPr="00362096">
        <w:rPr>
          <w:i/>
          <w:iCs/>
          <w:sz w:val="18"/>
          <w:szCs w:val="18"/>
        </w:rPr>
        <w:t>FactSet</w:t>
      </w:r>
      <w:proofErr w:type="spellEnd"/>
      <w:r w:rsidRPr="00362096">
        <w:rPr>
          <w:i/>
          <w:iCs/>
          <w:sz w:val="18"/>
          <w:szCs w:val="18"/>
        </w:rPr>
        <w:t xml:space="preserve">. Trvalost výnosů (5 let) podle </w:t>
      </w:r>
      <w:proofErr w:type="spellStart"/>
      <w:r w:rsidRPr="00362096">
        <w:rPr>
          <w:i/>
          <w:iCs/>
          <w:sz w:val="18"/>
          <w:szCs w:val="18"/>
        </w:rPr>
        <w:t>FactSet</w:t>
      </w:r>
      <w:proofErr w:type="spellEnd"/>
      <w:r w:rsidRPr="00362096">
        <w:rPr>
          <w:i/>
          <w:iCs/>
          <w:sz w:val="18"/>
          <w:szCs w:val="18"/>
        </w:rPr>
        <w:t xml:space="preserve">, údaje k 30. září 2025. Za účelem představení našich služeb diskrečního řízení, včetně našich investičních schopností, je strategie </w:t>
      </w:r>
      <w:proofErr w:type="spellStart"/>
      <w:r w:rsidRPr="00362096">
        <w:rPr>
          <w:i/>
          <w:iCs/>
          <w:sz w:val="18"/>
          <w:szCs w:val="18"/>
        </w:rPr>
        <w:t>Global</w:t>
      </w:r>
      <w:proofErr w:type="spellEnd"/>
      <w:r w:rsidRPr="00362096">
        <w:rPr>
          <w:i/>
          <w:iCs/>
          <w:sz w:val="18"/>
          <w:szCs w:val="18"/>
        </w:rPr>
        <w:t xml:space="preserve"> </w:t>
      </w:r>
      <w:proofErr w:type="spellStart"/>
      <w:r w:rsidRPr="00362096">
        <w:rPr>
          <w:i/>
          <w:iCs/>
          <w:sz w:val="18"/>
          <w:szCs w:val="18"/>
        </w:rPr>
        <w:t>Equity</w:t>
      </w:r>
      <w:proofErr w:type="spellEnd"/>
      <w:r w:rsidRPr="00362096">
        <w:rPr>
          <w:i/>
          <w:iCs/>
          <w:sz w:val="18"/>
          <w:szCs w:val="18"/>
        </w:rPr>
        <w:t xml:space="preserve"> </w:t>
      </w:r>
      <w:proofErr w:type="spellStart"/>
      <w:r w:rsidRPr="00362096">
        <w:rPr>
          <w:i/>
          <w:iCs/>
          <w:sz w:val="18"/>
          <w:szCs w:val="18"/>
        </w:rPr>
        <w:t>Income</w:t>
      </w:r>
      <w:proofErr w:type="spellEnd"/>
      <w:r w:rsidRPr="00362096">
        <w:rPr>
          <w:i/>
          <w:iCs/>
          <w:sz w:val="18"/>
          <w:szCs w:val="18"/>
        </w:rPr>
        <w:t xml:space="preserve"> založena na reprezentativním fondu: </w:t>
      </w:r>
      <w:proofErr w:type="spellStart"/>
      <w:r w:rsidRPr="00362096">
        <w:rPr>
          <w:i/>
          <w:iCs/>
          <w:sz w:val="18"/>
          <w:szCs w:val="18"/>
        </w:rPr>
        <w:t>Fidelity</w:t>
      </w:r>
      <w:proofErr w:type="spellEnd"/>
      <w:r w:rsidRPr="00362096">
        <w:rPr>
          <w:i/>
          <w:iCs/>
          <w:sz w:val="18"/>
          <w:szCs w:val="18"/>
        </w:rPr>
        <w:t xml:space="preserve"> </w:t>
      </w:r>
      <w:proofErr w:type="spellStart"/>
      <w:r w:rsidRPr="00362096">
        <w:rPr>
          <w:i/>
          <w:iCs/>
          <w:sz w:val="18"/>
          <w:szCs w:val="18"/>
        </w:rPr>
        <w:t>Funds</w:t>
      </w:r>
      <w:proofErr w:type="spellEnd"/>
      <w:r w:rsidRPr="00362096">
        <w:rPr>
          <w:i/>
          <w:iCs/>
          <w:sz w:val="18"/>
          <w:szCs w:val="18"/>
        </w:rPr>
        <w:t xml:space="preserve"> – </w:t>
      </w:r>
      <w:proofErr w:type="spellStart"/>
      <w:r w:rsidRPr="00362096">
        <w:rPr>
          <w:i/>
          <w:iCs/>
          <w:sz w:val="18"/>
          <w:szCs w:val="18"/>
        </w:rPr>
        <w:t>Global</w:t>
      </w:r>
      <w:proofErr w:type="spellEnd"/>
      <w:r w:rsidRPr="00362096">
        <w:rPr>
          <w:i/>
          <w:iCs/>
          <w:sz w:val="18"/>
          <w:szCs w:val="18"/>
        </w:rPr>
        <w:t xml:space="preserve"> </w:t>
      </w:r>
      <w:proofErr w:type="spellStart"/>
      <w:r w:rsidRPr="00362096">
        <w:rPr>
          <w:i/>
          <w:iCs/>
          <w:sz w:val="18"/>
          <w:szCs w:val="18"/>
        </w:rPr>
        <w:t>Equity</w:t>
      </w:r>
      <w:proofErr w:type="spellEnd"/>
      <w:r w:rsidRPr="00362096">
        <w:rPr>
          <w:i/>
          <w:iCs/>
          <w:sz w:val="18"/>
          <w:szCs w:val="18"/>
        </w:rPr>
        <w:t xml:space="preserve"> </w:t>
      </w:r>
      <w:proofErr w:type="spellStart"/>
      <w:r w:rsidRPr="00362096">
        <w:rPr>
          <w:i/>
          <w:iCs/>
          <w:sz w:val="18"/>
          <w:szCs w:val="18"/>
        </w:rPr>
        <w:t>Income</w:t>
      </w:r>
      <w:proofErr w:type="spellEnd"/>
      <w:r w:rsidRPr="00362096">
        <w:rPr>
          <w:i/>
          <w:iCs/>
          <w:sz w:val="18"/>
          <w:szCs w:val="18"/>
        </w:rPr>
        <w:t xml:space="preserve"> </w:t>
      </w:r>
      <w:proofErr w:type="spellStart"/>
      <w:r w:rsidRPr="00362096">
        <w:rPr>
          <w:i/>
          <w:iCs/>
          <w:sz w:val="18"/>
          <w:szCs w:val="18"/>
        </w:rPr>
        <w:t>Fund</w:t>
      </w:r>
      <w:proofErr w:type="spellEnd"/>
      <w:r w:rsidRPr="00362096">
        <w:rPr>
          <w:i/>
          <w:iCs/>
          <w:sz w:val="18"/>
          <w:szCs w:val="18"/>
        </w:rPr>
        <w:t xml:space="preserve">. Skóre </w:t>
      </w:r>
      <w:proofErr w:type="spellStart"/>
      <w:r w:rsidRPr="00362096">
        <w:rPr>
          <w:i/>
          <w:iCs/>
          <w:sz w:val="18"/>
          <w:szCs w:val="18"/>
        </w:rPr>
        <w:t>FactSet</w:t>
      </w:r>
      <w:proofErr w:type="spellEnd"/>
      <w:r w:rsidRPr="00362096">
        <w:rPr>
          <w:i/>
          <w:iCs/>
          <w:sz w:val="18"/>
          <w:szCs w:val="18"/>
        </w:rPr>
        <w:t xml:space="preserve"> </w:t>
      </w:r>
      <w:proofErr w:type="spellStart"/>
      <w:r w:rsidRPr="00362096">
        <w:rPr>
          <w:i/>
          <w:iCs/>
          <w:sz w:val="18"/>
          <w:szCs w:val="18"/>
        </w:rPr>
        <w:t>Earnings</w:t>
      </w:r>
      <w:proofErr w:type="spellEnd"/>
      <w:r w:rsidRPr="00362096">
        <w:rPr>
          <w:i/>
          <w:iCs/>
          <w:sz w:val="18"/>
          <w:szCs w:val="18"/>
        </w:rPr>
        <w:t xml:space="preserve"> Persistence je proprietární měřítko vyvinuté společností </w:t>
      </w:r>
      <w:proofErr w:type="spellStart"/>
      <w:r w:rsidRPr="00362096">
        <w:rPr>
          <w:i/>
          <w:iCs/>
          <w:sz w:val="18"/>
          <w:szCs w:val="18"/>
        </w:rPr>
        <w:t>FactSet</w:t>
      </w:r>
      <w:proofErr w:type="spellEnd"/>
      <w:r w:rsidRPr="00362096">
        <w:rPr>
          <w:i/>
          <w:iCs/>
          <w:sz w:val="18"/>
          <w:szCs w:val="18"/>
        </w:rPr>
        <w:t xml:space="preserve">, které hodnotí konzistenci a udržitelnost výnosů společnosti v čase. Modrá a oranžová čára v grafu vedle ukazují vážený průměr skóre pro každou akcii ve fondu FF – </w:t>
      </w:r>
      <w:proofErr w:type="spellStart"/>
      <w:r w:rsidRPr="00362096">
        <w:rPr>
          <w:i/>
          <w:iCs/>
          <w:sz w:val="18"/>
          <w:szCs w:val="18"/>
        </w:rPr>
        <w:t>Global</w:t>
      </w:r>
      <w:proofErr w:type="spellEnd"/>
      <w:r w:rsidRPr="00362096">
        <w:rPr>
          <w:i/>
          <w:iCs/>
          <w:sz w:val="18"/>
          <w:szCs w:val="18"/>
        </w:rPr>
        <w:t xml:space="preserve"> </w:t>
      </w:r>
      <w:proofErr w:type="spellStart"/>
      <w:r w:rsidRPr="00362096">
        <w:rPr>
          <w:i/>
          <w:iCs/>
          <w:sz w:val="18"/>
          <w:szCs w:val="18"/>
        </w:rPr>
        <w:t>Equity</w:t>
      </w:r>
      <w:proofErr w:type="spellEnd"/>
      <w:r w:rsidRPr="00362096">
        <w:rPr>
          <w:i/>
          <w:iCs/>
          <w:sz w:val="18"/>
          <w:szCs w:val="18"/>
        </w:rPr>
        <w:t xml:space="preserve"> </w:t>
      </w:r>
      <w:proofErr w:type="spellStart"/>
      <w:r w:rsidRPr="00362096">
        <w:rPr>
          <w:i/>
          <w:iCs/>
          <w:sz w:val="18"/>
          <w:szCs w:val="18"/>
        </w:rPr>
        <w:t>Income</w:t>
      </w:r>
      <w:proofErr w:type="spellEnd"/>
      <w:r w:rsidRPr="00362096">
        <w:rPr>
          <w:i/>
          <w:iCs/>
          <w:sz w:val="18"/>
          <w:szCs w:val="18"/>
        </w:rPr>
        <w:t xml:space="preserve"> </w:t>
      </w:r>
      <w:proofErr w:type="spellStart"/>
      <w:r w:rsidRPr="00362096">
        <w:rPr>
          <w:i/>
          <w:iCs/>
          <w:sz w:val="18"/>
          <w:szCs w:val="18"/>
        </w:rPr>
        <w:t>Fund</w:t>
      </w:r>
      <w:proofErr w:type="spellEnd"/>
      <w:r w:rsidRPr="00362096">
        <w:rPr>
          <w:i/>
          <w:iCs/>
          <w:sz w:val="18"/>
          <w:szCs w:val="18"/>
        </w:rPr>
        <w:t xml:space="preserve"> a indexu MSCI ACWI. Vyšší skóre portfolia naznačuje vyšší kvalitu výnosů s větší spolehlivostí a nižší volatilitou. 1 Pro pozice držené po celých 12 měsíců.</w:t>
      </w:r>
    </w:p>
    <w:p w14:paraId="0C17272B" w14:textId="77777777" w:rsidR="002C3975" w:rsidRDefault="002C3975" w:rsidP="002C3975">
      <w:r>
        <w:t>Naše defenzivní strategie není založena na velkých alokacích do tradičních sektorů, které působí defenzivně. Rozdělujeme prostředky do společností zabývajícími se základním spotřebním zbožím nebo veřejnými službami, ale cílem je skutečná diverzifikaci. Obvykle držíme něco mezi 35 a 45 akciemi s průměrnou dobou držení pět let, což odráží dlouhodobý přístup, kdy je pozice určována spíše příležitostmi konkrétních akcií.</w:t>
      </w:r>
    </w:p>
    <w:p w14:paraId="6F46538A" w14:textId="77777777" w:rsidR="002C3975" w:rsidRDefault="002C3975" w:rsidP="002C3975">
      <w:r>
        <w:t xml:space="preserve">Relativně nízká expozice portfolia vůči USA (přibližně jedna třetina držených akcií) ve srovnání se dvěma třetinami globálního indexu není makroekonomickým rozhodnutím, ale výsledkem pečlivého výběru akcií. Mnoho z největších amerických technologických společností nespadá do našeho „vesmíru“. Žádná ze společností takzvaných </w:t>
      </w:r>
      <w:proofErr w:type="spellStart"/>
      <w:r>
        <w:t>Magnificent</w:t>
      </w:r>
      <w:proofErr w:type="spellEnd"/>
      <w:r>
        <w:t xml:space="preserve"> </w:t>
      </w:r>
      <w:proofErr w:type="spellStart"/>
      <w:r>
        <w:t>Seven</w:t>
      </w:r>
      <w:proofErr w:type="spellEnd"/>
      <w:r>
        <w:t xml:space="preserve"> nenabízí dividendový výnos vyšší než 1 %; například výnos společnosti Microsoft je pouze 0,7 %. Protože strategie je výslovně navržena tak, aby výnosy tvořily významnou část celkového výnosu, musí k tomuto cíli přispívat každá pozice.</w:t>
      </w:r>
    </w:p>
    <w:p w14:paraId="77FFDACD" w14:textId="77777777" w:rsidR="002C3975" w:rsidRPr="009D16A9" w:rsidRDefault="002C3975" w:rsidP="002C3975">
      <w:r>
        <w:t>I kdyby tyto společnosti vyplácely vyšší dividendy, většina z nich by stále nesplňovala podmínky pro zařazení, protože jejich budoucí peněžní toky jsou příliš nejisté. Velká část hodnoty některých známých technologických akcií spočívá v produktech nebo službách, jejichž komerční vývoj může trvat roky nebo dokonce desetiletí. A potenciální výsledky jsou obrovské – od významného růstu až po stejně významný pokles. Tato míra nejistoty ztěžuje stanovení reálné hodnoty a přináší rizika, která se snažíme zmírnit.</w:t>
      </w:r>
    </w:p>
    <w:p w14:paraId="2D79EC7A" w14:textId="77777777" w:rsidR="002C3975" w:rsidRDefault="002C3975" w:rsidP="002C3975">
      <w:r>
        <w:lastRenderedPageBreak/>
        <w:t>Je třeba poznamenat, že portfolio má sice nízkou, ale stále významnou expozici vůči americké ekonomice. Přibližně 40 % celkových výnosů společností v portfoliu pochází z USA. To představuje zdravou rovnováhu: významnou účast na největší ekonomice světa bez rizika spojeného s oceněním nejdražších společností.</w:t>
      </w:r>
    </w:p>
    <w:p w14:paraId="3971BD7E" w14:textId="77777777" w:rsidR="002C3975" w:rsidRDefault="002C3975" w:rsidP="002C3975">
      <w:r>
        <w:t>Dalším klíčovým prvkem je disciplína v oblasti ocenění. Na agregované úrovni se portfolio ke konci září obchodovalo s poměrem cena/zisk kolem 21x, ve srovnání s 23,5x na globálním trhu, a nabízí výnos kolem 2,4 % oproti 1,7 % u indexu. To poskytuje bezpečnostní rezervu v případě změny sentimentu. Drahé segmenty trhu trpí většinou nejprudšími korekcemi v období poklesu, zatímco atraktivně oceněné, vysoce kvalitní podniky pomohou zachovat kapitál a rychleji se zotavit.</w:t>
      </w:r>
    </w:p>
    <w:p w14:paraId="5B7F54F3" w14:textId="77777777" w:rsidR="002C3975" w:rsidRPr="009D16A9" w:rsidRDefault="002C3975" w:rsidP="002C3975">
      <w:r>
        <w:t xml:space="preserve">Tyto principy se odrážejí v typech společností, které vlastníme. </w:t>
      </w:r>
      <w:proofErr w:type="spellStart"/>
      <w:r>
        <w:t>Munich</w:t>
      </w:r>
      <w:proofErr w:type="spellEnd"/>
      <w:r>
        <w:t xml:space="preserve"> Re je dobrým příkladem typu odolného, hotovost generujícího podniku, který se portfolio snaží vlastnit. Německá zajišťovna zvyšuje své dividendy každý rok již více než dvě desetiletí a od založení portfolia překonala trh o více než 100 %. Její stabilní výnosy odrážejí konzervativní řízení rizik, disciplinované nasazení kapitálu a obchodní model, který odměňuje trpělivost a opatrnost.</w:t>
      </w:r>
    </w:p>
    <w:p w14:paraId="3EEAE7BD" w14:textId="77777777" w:rsidR="002C3975" w:rsidRDefault="002C3975" w:rsidP="002C3975">
      <w:r>
        <w:t xml:space="preserve">Portfolio zahrnuje také zavedené britské společnosti vyplácející dividendy, jako jsou Tesco, </w:t>
      </w:r>
      <w:proofErr w:type="spellStart"/>
      <w:r>
        <w:t>Unilever</w:t>
      </w:r>
      <w:proofErr w:type="spellEnd"/>
      <w:r>
        <w:t xml:space="preserve"> a </w:t>
      </w:r>
      <w:proofErr w:type="spellStart"/>
      <w:r>
        <w:t>Admiral</w:t>
      </w:r>
      <w:proofErr w:type="spellEnd"/>
      <w:r>
        <w:t>. Ty jsou drženy spíše kvůli svým individuálním přednostem. Společnost Tesco prošla desetiletím restrukturalizace a nyní má jednodušší model a obnovenou konkurenceschopnost. Její dividendový výnos 3,5 %, doplněný o zpětný odkup akcií, ji staví do dobré pozice pro celkové téměř dvouciferné výnosy.</w:t>
      </w:r>
    </w:p>
    <w:p w14:paraId="54C901FE" w14:textId="77777777" w:rsidR="002C3975" w:rsidRDefault="002C3975" w:rsidP="002C3975">
      <w:r>
        <w:t>Tato šíře portfolia zahrnuje finanční, průmyslové sektory, infrastrukturu a spotřební sektory, přičemž vytváří vyváženou kombinaci zdrojů příjmů a růstu, která podporuje výkonnost v různých tržních podmínkách.</w:t>
      </w:r>
    </w:p>
    <w:p w14:paraId="3E5E604A" w14:textId="78EAF4D1" w:rsidR="002C3975" w:rsidRPr="00362096" w:rsidRDefault="002C3975" w:rsidP="002C3975">
      <w:pPr>
        <w:rPr>
          <w:b/>
          <w:bCs/>
        </w:rPr>
      </w:pPr>
      <w:r w:rsidRPr="00362096">
        <w:rPr>
          <w:b/>
          <w:bCs/>
        </w:rPr>
        <w:t>Dlouhodobý úspěch</w:t>
      </w:r>
    </w:p>
    <w:p w14:paraId="45A0C9C1" w14:textId="77777777" w:rsidR="002C3975" w:rsidRPr="009D16A9" w:rsidRDefault="002C3975" w:rsidP="002C3975">
      <w:r>
        <w:t>Do budoucna zůstáváme opatrní, pokud jde o udržitelnost vedoucího postavení na trhu. Rozšířené americké valuace a rostoucí koncentrace v několika málo společnostech představují jasné výzvy pro investory, kteří se spoléhají na expozici založenou na indexu. Historie naznačuje, že takové nerovnováhy mají tendenci se časem normalizovat, což často nahrává diverzifikovanějším strategiím a strategiím zaměřeným na valuace.</w:t>
      </w:r>
    </w:p>
    <w:p w14:paraId="4468C6E8" w14:textId="77777777" w:rsidR="002C3975" w:rsidRDefault="002C3975" w:rsidP="002C3975">
      <w:r>
        <w:t>Finančně silné společnosti, které mohou udržet a zvyšovat dividendy a zároveň pokračovat v reinvesticích do budoucího růstu, mají dobré předpoklady k dosažení atraktivních výnosů celkově i za různých tržních podmínek. Náš hlavní cíl zůstává stejný: dosahovat výnosů očištěných o riziko investováním do odolných společností, což představuje kombinace zisku, disciplinované rozvahy a podpůrné valuace. V době geopolitické nejistoty, nerovnoměrného růstu a vyšších kapitálových nákladů budou pravděpodobně právě tyto vlastnosti, jako odolnost zisků, finanční síla a disciplína v oblasti ocenění, určovat dlouhodobý úspěch.</w:t>
      </w:r>
    </w:p>
    <w:p w14:paraId="223458BE" w14:textId="77777777" w:rsidR="00321602" w:rsidRDefault="00321602" w:rsidP="00362096">
      <w:pPr>
        <w:ind w:left="709" w:hanging="709"/>
        <w:rPr>
          <w:b/>
          <w:bCs/>
        </w:rPr>
      </w:pPr>
    </w:p>
    <w:p w14:paraId="3EDEC677" w14:textId="77777777" w:rsidR="00321602" w:rsidRDefault="00321602" w:rsidP="00362096">
      <w:pPr>
        <w:ind w:left="709" w:hanging="709"/>
        <w:rPr>
          <w:b/>
          <w:bCs/>
        </w:rPr>
      </w:pPr>
    </w:p>
    <w:p w14:paraId="0FFC2799" w14:textId="77777777" w:rsidR="00321602" w:rsidRDefault="00321602" w:rsidP="00362096">
      <w:pPr>
        <w:ind w:left="709" w:hanging="709"/>
        <w:rPr>
          <w:b/>
          <w:bCs/>
        </w:rPr>
      </w:pPr>
    </w:p>
    <w:p w14:paraId="02A38B4D" w14:textId="03708DCA" w:rsidR="002C3975" w:rsidRPr="00362096" w:rsidRDefault="00362096" w:rsidP="00362096">
      <w:pPr>
        <w:ind w:left="709" w:hanging="709"/>
        <w:rPr>
          <w:b/>
          <w:bCs/>
        </w:rPr>
      </w:pPr>
      <w:r w:rsidRPr="00362096">
        <w:rPr>
          <w:b/>
          <w:bCs/>
        </w:rPr>
        <w:lastRenderedPageBreak/>
        <w:t xml:space="preserve">Tabulka 1: </w:t>
      </w:r>
      <w:r w:rsidR="002C3975" w:rsidRPr="00362096">
        <w:rPr>
          <w:b/>
          <w:bCs/>
        </w:rPr>
        <w:t>12měsíční klouzavé výnosy, po odečtení poplatků, v USD (%)</w:t>
      </w:r>
    </w:p>
    <w:p w14:paraId="6CE9657C" w14:textId="76416992" w:rsidR="00362096" w:rsidRPr="00362096" w:rsidRDefault="00362096" w:rsidP="00362096">
      <w:pPr>
        <w:pStyle w:val="F2-zkladn"/>
      </w:pPr>
    </w:p>
    <w:p w14:paraId="53E15D8E" w14:textId="070A558C" w:rsidR="002C3975" w:rsidRPr="00321602" w:rsidRDefault="00362096" w:rsidP="002C3975">
      <w:pPr>
        <w:rPr>
          <w:i/>
          <w:iCs/>
        </w:rPr>
      </w:pPr>
      <w:r w:rsidRPr="00321602">
        <w:rPr>
          <w:i/>
          <w:iCs/>
          <w:noProof/>
        </w:rPr>
        <w:drawing>
          <wp:anchor distT="0" distB="0" distL="114300" distR="114300" simplePos="0" relativeHeight="251660288" behindDoc="0" locked="0" layoutInCell="1" allowOverlap="1" wp14:anchorId="3CAD7EF4" wp14:editId="6F31F7D3">
            <wp:simplePos x="0" y="0"/>
            <wp:positionH relativeFrom="column">
              <wp:posOffset>-137049</wp:posOffset>
            </wp:positionH>
            <wp:positionV relativeFrom="paragraph">
              <wp:posOffset>56</wp:posOffset>
            </wp:positionV>
            <wp:extent cx="5759450" cy="3037840"/>
            <wp:effectExtent l="0" t="0" r="0" b="0"/>
            <wp:wrapThrough wrapText="bothSides">
              <wp:wrapPolygon edited="0">
                <wp:start x="0" y="0"/>
                <wp:lineTo x="0" y="21401"/>
                <wp:lineTo x="21505" y="21401"/>
                <wp:lineTo x="21505" y="0"/>
                <wp:lineTo x="0" y="0"/>
              </wp:wrapPolygon>
            </wp:wrapThrough>
            <wp:docPr id="199268350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83503" name="Obrázek 1992683503"/>
                    <pic:cNvPicPr/>
                  </pic:nvPicPr>
                  <pic:blipFill>
                    <a:blip r:embed="rId13">
                      <a:extLst>
                        <a:ext uri="{28A0092B-C50C-407E-A947-70E740481C1C}">
                          <a14:useLocalDpi xmlns:a14="http://schemas.microsoft.com/office/drawing/2010/main" val="0"/>
                        </a:ext>
                      </a:extLst>
                    </a:blip>
                    <a:stretch>
                      <a:fillRect/>
                    </a:stretch>
                  </pic:blipFill>
                  <pic:spPr>
                    <a:xfrm>
                      <a:off x="0" y="0"/>
                      <a:ext cx="5759450" cy="3037840"/>
                    </a:xfrm>
                    <a:prstGeom prst="rect">
                      <a:avLst/>
                    </a:prstGeom>
                  </pic:spPr>
                </pic:pic>
              </a:graphicData>
            </a:graphic>
          </wp:anchor>
        </w:drawing>
      </w:r>
      <w:r w:rsidR="002C3975" w:rsidRPr="00321602">
        <w:rPr>
          <w:i/>
          <w:iCs/>
        </w:rPr>
        <w:t xml:space="preserve">Minulá výkonnost není zárukou budoucích výnosů. Výnosy fondu mohou vzrůst nebo poklesnout v důsledku kolísání měnových kurzů. Zdroj: </w:t>
      </w:r>
      <w:proofErr w:type="spellStart"/>
      <w:r w:rsidR="002C3975" w:rsidRPr="00321602">
        <w:rPr>
          <w:i/>
          <w:iCs/>
        </w:rPr>
        <w:t>Fidelity</w:t>
      </w:r>
      <w:proofErr w:type="spellEnd"/>
      <w:r w:rsidR="002C3975" w:rsidRPr="00321602">
        <w:rPr>
          <w:i/>
          <w:iCs/>
        </w:rPr>
        <w:t xml:space="preserve"> International, 31. října 2025. Všechny výnosy fondu </w:t>
      </w:r>
      <w:proofErr w:type="spellStart"/>
      <w:r w:rsidR="002C3975" w:rsidRPr="00321602">
        <w:rPr>
          <w:i/>
          <w:iCs/>
        </w:rPr>
        <w:t>Global</w:t>
      </w:r>
      <w:proofErr w:type="spellEnd"/>
      <w:r w:rsidR="002C3975" w:rsidRPr="00321602">
        <w:rPr>
          <w:i/>
          <w:iCs/>
        </w:rPr>
        <w:t xml:space="preserve"> </w:t>
      </w:r>
      <w:proofErr w:type="spellStart"/>
      <w:r w:rsidR="002C3975" w:rsidRPr="00321602">
        <w:rPr>
          <w:i/>
          <w:iCs/>
        </w:rPr>
        <w:t>Equity</w:t>
      </w:r>
      <w:proofErr w:type="spellEnd"/>
      <w:r w:rsidR="002C3975" w:rsidRPr="00321602">
        <w:rPr>
          <w:i/>
          <w:iCs/>
        </w:rPr>
        <w:t xml:space="preserve"> </w:t>
      </w:r>
      <w:proofErr w:type="spellStart"/>
      <w:r w:rsidR="002C3975" w:rsidRPr="00321602">
        <w:rPr>
          <w:i/>
          <w:iCs/>
        </w:rPr>
        <w:t>Income</w:t>
      </w:r>
      <w:proofErr w:type="spellEnd"/>
      <w:r w:rsidR="002C3975" w:rsidRPr="00321602">
        <w:rPr>
          <w:i/>
          <w:iCs/>
        </w:rPr>
        <w:t xml:space="preserve"> </w:t>
      </w:r>
      <w:proofErr w:type="spellStart"/>
      <w:r w:rsidR="002C3975" w:rsidRPr="00321602">
        <w:rPr>
          <w:i/>
          <w:iCs/>
        </w:rPr>
        <w:t>Fund</w:t>
      </w:r>
      <w:proofErr w:type="spellEnd"/>
      <w:r w:rsidR="002C3975" w:rsidRPr="00321602">
        <w:rPr>
          <w:i/>
          <w:iCs/>
        </w:rPr>
        <w:t xml:space="preserve"> Y-ACC-USD. Základ: nav-nav, hrubý výnos reinvestovaný v USD. Indexem je MSCI ACWI (netto).</w:t>
      </w:r>
    </w:p>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Pr="003B4C8C" w:rsidRDefault="00362096" w:rsidP="00362096">
      <w:r w:rsidRPr="003B4C8C">
        <w:t>e-mail: </w:t>
      </w:r>
      <w:hyperlink r:id="rId14"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w:t>
      </w:r>
      <w:r w:rsidRPr="003B4C8C">
        <w:lastRenderedPageBreak/>
        <w:t>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w:t>
      </w:r>
      <w:r w:rsidRPr="003B4C8C">
        <w:lastRenderedPageBreak/>
        <w:t>dokumentu KIID (Klíčové informace pro investory) - dostupný v angličtině a češtině, které jsou dostupné spolu s výročními a pololetními zprávami zdarma na </w:t>
      </w:r>
      <w:hyperlink r:id="rId15"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6" w:tgtFrame="_blank" w:history="1">
        <w:r w:rsidRPr="003B4C8C">
          <w:rPr>
            <w:rStyle w:val="Hypertextovodkaz"/>
          </w:rPr>
          <w:t>https://www.fidelity.cz</w:t>
        </w:r>
      </w:hyperlink>
      <w:r w:rsidRPr="003B4C8C">
        <w:t> (v češtině).</w:t>
      </w:r>
    </w:p>
    <w:p w14:paraId="5348571E" w14:textId="77777777" w:rsidR="00362096" w:rsidRDefault="00362096" w:rsidP="00362096"/>
    <w:p w14:paraId="38B88965" w14:textId="7988EB89" w:rsidR="00362096" w:rsidRDefault="00FF4768" w:rsidP="00362096">
      <w:pPr>
        <w:pStyle w:val="F2-zkladn"/>
      </w:pPr>
      <w:r w:rsidRPr="00FF4768">
        <w:rPr>
          <w:lang w:val="de-AT"/>
        </w:rPr>
        <w:t>MKAT13387</w:t>
      </w:r>
    </w:p>
    <w:p w14:paraId="032496E3" w14:textId="24EF2FD2" w:rsidR="00D20058" w:rsidRDefault="00D20058" w:rsidP="002C3975">
      <w:pPr>
        <w:spacing w:after="160" w:line="278" w:lineRule="auto"/>
      </w:pPr>
    </w:p>
    <w:sectPr w:rsidR="00D20058" w:rsidSect="00F50497">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AD4E" w14:textId="77777777" w:rsidR="00131B94" w:rsidRDefault="00131B94">
      <w:r>
        <w:separator/>
      </w:r>
    </w:p>
  </w:endnote>
  <w:endnote w:type="continuationSeparator" w:id="0">
    <w:p w14:paraId="2C623721" w14:textId="77777777" w:rsidR="00131B94" w:rsidRDefault="001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798B" w14:textId="77777777" w:rsidR="00131B94" w:rsidRDefault="00131B94">
      <w:r>
        <w:separator/>
      </w:r>
    </w:p>
  </w:footnote>
  <w:footnote w:type="continuationSeparator" w:id="0">
    <w:p w14:paraId="39FC7084" w14:textId="77777777" w:rsidR="00131B94" w:rsidRDefault="00131B94">
      <w:r>
        <w:continuationSeparator/>
      </w:r>
    </w:p>
  </w:footnote>
  <w:footnote w:type="continuationNotice" w:id="1">
    <w:p w14:paraId="404ED2C5" w14:textId="77777777" w:rsidR="00131B94" w:rsidRDefault="00131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ttps/www.fidelit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https/www.fidelityinternationa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2253</Words>
  <Characters>13299</Characters>
  <Application>Microsoft Office Word</Application>
  <DocSecurity>0</DocSecurity>
  <Lines>110</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15521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2025-11-19T11:22:00Z</dcterms:created>
  <dcterms:modified xsi:type="dcterms:W3CDTF">2025-11-20T09:12:00Z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